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89" w:rsidRPr="004B3A89" w:rsidRDefault="004B3A89" w:rsidP="004B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A89">
        <w:rPr>
          <w:rFonts w:ascii="Verdana" w:eastAsia="Times New Roman" w:hAnsi="Verdana" w:cs="Times New Roman"/>
          <w:sz w:val="24"/>
          <w:szCs w:val="24"/>
          <w:lang w:eastAsia="tr-TR"/>
        </w:rPr>
        <w:t>"İMKB Pay Endeksleri Temel Kuralları"nın 4.4.e maddesi gereğince, 16.01.2013 tarihinden itibaren İMKB Pay Endekslerinin hesaplanmasında fiili dolaşımdaki pay oranları;</w:t>
      </w:r>
      <w:r w:rsidRPr="004B3A89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4B3A89">
        <w:rPr>
          <w:rFonts w:ascii="Verdana" w:eastAsia="Times New Roman" w:hAnsi="Verdana" w:cs="Times New Roman"/>
          <w:sz w:val="24"/>
          <w:szCs w:val="24"/>
          <w:lang w:eastAsia="tr-TR"/>
        </w:rPr>
        <w:br/>
        <w:t>Berkosan Yalıtım için %67,</w:t>
      </w:r>
      <w:r w:rsidRPr="004B3A89">
        <w:rPr>
          <w:rFonts w:ascii="Verdana" w:eastAsia="Times New Roman" w:hAnsi="Verdana" w:cs="Times New Roman"/>
          <w:sz w:val="24"/>
          <w:szCs w:val="24"/>
          <w:lang w:eastAsia="tr-TR"/>
        </w:rPr>
        <w:br/>
        <w:t>Deniz Yat. Ort. için %44,</w:t>
      </w:r>
      <w:r w:rsidRPr="004B3A89">
        <w:rPr>
          <w:rFonts w:ascii="Verdana" w:eastAsia="Times New Roman" w:hAnsi="Verdana" w:cs="Times New Roman"/>
          <w:sz w:val="24"/>
          <w:szCs w:val="24"/>
          <w:lang w:eastAsia="tr-TR"/>
        </w:rPr>
        <w:br/>
        <w:t>Global Yat. Holding için %51</w:t>
      </w:r>
      <w:r w:rsidRPr="004B3A89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4B3A89">
        <w:rPr>
          <w:rFonts w:ascii="Verdana" w:eastAsia="Times New Roman" w:hAnsi="Verdana" w:cs="Times New Roman"/>
          <w:sz w:val="24"/>
          <w:szCs w:val="24"/>
          <w:lang w:eastAsia="tr-TR"/>
        </w:rPr>
        <w:br/>
        <w:t>olarak dikkate alınacaktır.</w:t>
      </w:r>
    </w:p>
    <w:p w:rsidR="00FE2F98" w:rsidRDefault="00FE2F98">
      <w:bookmarkStart w:id="0" w:name="_GoBack"/>
      <w:bookmarkEnd w:id="0"/>
    </w:p>
    <w:sectPr w:rsidR="00FE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89"/>
    <w:rsid w:val="004B3A89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kubra</cp:lastModifiedBy>
  <cp:revision>2</cp:revision>
  <dcterms:created xsi:type="dcterms:W3CDTF">2015-01-26T12:24:00Z</dcterms:created>
  <dcterms:modified xsi:type="dcterms:W3CDTF">2015-01-26T12:24:00Z</dcterms:modified>
</cp:coreProperties>
</file>